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66E37" w14:textId="71A4E40A" w:rsidR="00AC0E07" w:rsidRPr="00325EEA" w:rsidRDefault="00AC0E07" w:rsidP="00AC0E07">
      <w:pPr>
        <w:jc w:val="center"/>
        <w:rPr>
          <w:b/>
          <w:bCs/>
          <w:u w:val="single"/>
          <w:rtl/>
        </w:rPr>
      </w:pPr>
      <w:r w:rsidRPr="00325EEA">
        <w:rPr>
          <w:rFonts w:hint="cs"/>
          <w:b/>
          <w:bCs/>
          <w:u w:val="single"/>
          <w:rtl/>
        </w:rPr>
        <w:t>סיפור</w:t>
      </w:r>
    </w:p>
    <w:p w14:paraId="02C66280" w14:textId="489C9469" w:rsidR="001E38F9" w:rsidRDefault="00A764B2">
      <w:pPr>
        <w:rPr>
          <w:rtl/>
        </w:rPr>
      </w:pPr>
      <w:r w:rsidRPr="00A764B2">
        <w:rPr>
          <w:rFonts w:hint="cs"/>
          <w:b/>
          <w:bCs/>
          <w:rtl/>
        </w:rPr>
        <w:t>זמן ומקום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בית לחם בתקופת השופטים בתקופה זו היה חוסר יציבות פוליטית, חברתית, חיו ללא שלטון מרכזי (השופטים היו מתחלפים)</w:t>
      </w:r>
    </w:p>
    <w:p w14:paraId="745D00FE" w14:textId="453B7730" w:rsidR="00A764B2" w:rsidRDefault="00A764B2">
      <w:pPr>
        <w:rPr>
          <w:rtl/>
        </w:rPr>
      </w:pPr>
      <w:r>
        <w:rPr>
          <w:rFonts w:hint="cs"/>
          <w:rtl/>
        </w:rPr>
        <w:t>לפי המסורת המגילה נכתבה בתקופת דוד המלך על ידי שמואל הנביא</w:t>
      </w:r>
    </w:p>
    <w:p w14:paraId="2686F122" w14:textId="35B3B242" w:rsidR="00A764B2" w:rsidRDefault="00A764B2">
      <w:pPr>
        <w:rPr>
          <w:rtl/>
        </w:rPr>
      </w:pPr>
      <w:r>
        <w:rPr>
          <w:rFonts w:hint="cs"/>
          <w:rtl/>
        </w:rPr>
        <w:t>לפי הביקורת המגילה נכתבה בתקופת עזרה ונחמיה</w:t>
      </w:r>
    </w:p>
    <w:p w14:paraId="49CA6A23" w14:textId="3C6F3F62" w:rsidR="00A764B2" w:rsidRDefault="00A764B2">
      <w:pPr>
        <w:rPr>
          <w:rtl/>
        </w:rPr>
      </w:pPr>
      <w:r>
        <w:rPr>
          <w:rFonts w:hint="cs"/>
          <w:b/>
          <w:bCs/>
          <w:rtl/>
        </w:rPr>
        <w:t>המסגרת הסיפורית</w:t>
      </w:r>
      <w:r>
        <w:rPr>
          <w:rFonts w:hint="cs"/>
          <w:rtl/>
        </w:rPr>
        <w:t xml:space="preserve"> </w:t>
      </w:r>
      <w:r w:rsidR="00695F50">
        <w:rPr>
          <w:rtl/>
        </w:rPr>
        <w:t>–</w:t>
      </w:r>
      <w:r>
        <w:rPr>
          <w:rFonts w:hint="cs"/>
          <w:rtl/>
        </w:rPr>
        <w:t xml:space="preserve"> </w:t>
      </w:r>
      <w:r w:rsidR="00695F50">
        <w:rPr>
          <w:rFonts w:hint="cs"/>
          <w:rtl/>
        </w:rPr>
        <w:t>אלימלך ומשפחתו עוזבים את הארץ בגלל רעב והם עוברים למואב</w:t>
      </w:r>
    </w:p>
    <w:p w14:paraId="12DF5FDB" w14:textId="3B4113D6" w:rsidR="00695F50" w:rsidRDefault="00695F50">
      <w:pPr>
        <w:rPr>
          <w:rtl/>
        </w:rPr>
      </w:pPr>
      <w:r>
        <w:rPr>
          <w:rFonts w:hint="cs"/>
          <w:rtl/>
        </w:rPr>
        <w:t xml:space="preserve">אלימלך נפטר ומחלון </w:t>
      </w:r>
      <w:proofErr w:type="spellStart"/>
      <w:r>
        <w:rPr>
          <w:rFonts w:hint="cs"/>
          <w:rtl/>
        </w:rPr>
        <w:t>וכליון</w:t>
      </w:r>
      <w:proofErr w:type="spellEnd"/>
      <w:r>
        <w:rPr>
          <w:rFonts w:hint="cs"/>
          <w:rtl/>
        </w:rPr>
        <w:t xml:space="preserve"> (בניו של אלימלך) מתחתנים ומתים</w:t>
      </w:r>
    </w:p>
    <w:p w14:paraId="4AA2DB93" w14:textId="2D665CBA" w:rsidR="00695F50" w:rsidRDefault="00695F50">
      <w:pPr>
        <w:rPr>
          <w:rtl/>
        </w:rPr>
      </w:pPr>
      <w:r>
        <w:rPr>
          <w:rFonts w:hint="cs"/>
          <w:rtl/>
        </w:rPr>
        <w:t>נעמי חוזרת לארץ עם רות כלתה (</w:t>
      </w:r>
      <w:proofErr w:type="spellStart"/>
      <w:r>
        <w:rPr>
          <w:rFonts w:hint="cs"/>
          <w:rtl/>
        </w:rPr>
        <w:t>אורפה</w:t>
      </w:r>
      <w:proofErr w:type="spellEnd"/>
      <w:r>
        <w:rPr>
          <w:rFonts w:hint="cs"/>
          <w:rtl/>
        </w:rPr>
        <w:t xml:space="preserve"> כלתה השנייה של נעמי נשארת במואב) העלילה סובבת סביב נשים יוזמותיהן לצד התגייסות בעז</w:t>
      </w:r>
    </w:p>
    <w:p w14:paraId="4B00124D" w14:textId="26D77B2A" w:rsidR="00695F50" w:rsidRDefault="00695F50">
      <w:pPr>
        <w:rPr>
          <w:rtl/>
        </w:rPr>
      </w:pPr>
      <w:r>
        <w:rPr>
          <w:rFonts w:hint="cs"/>
          <w:rtl/>
        </w:rPr>
        <w:t xml:space="preserve">המסרים המרכזיים </w:t>
      </w:r>
      <w:r>
        <w:rPr>
          <w:rtl/>
        </w:rPr>
        <w:t>–</w:t>
      </w:r>
      <w:r>
        <w:rPr>
          <w:rFonts w:hint="cs"/>
          <w:rtl/>
        </w:rPr>
        <w:t xml:space="preserve"> חשיבות החסד, היחס לגר ושייכות</w:t>
      </w:r>
    </w:p>
    <w:p w14:paraId="339CCA35" w14:textId="71DC3DD6" w:rsidR="00695F50" w:rsidRDefault="00695F50" w:rsidP="00325EEA">
      <w:pPr>
        <w:rPr>
          <w:rtl/>
        </w:rPr>
      </w:pPr>
    </w:p>
    <w:p w14:paraId="293D1E40" w14:textId="28BE391F" w:rsidR="00325EEA" w:rsidRDefault="00325EEA" w:rsidP="00325EEA">
      <w:pPr>
        <w:rPr>
          <w:rtl/>
        </w:rPr>
      </w:pPr>
    </w:p>
    <w:p w14:paraId="24A212C2" w14:textId="05D9CCF6" w:rsidR="00325EEA" w:rsidRDefault="00325EEA" w:rsidP="00325EEA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מילון מושגים</w:t>
      </w:r>
    </w:p>
    <w:p w14:paraId="0F98B2EA" w14:textId="77777777" w:rsidR="00325EEA" w:rsidRPr="00325EEA" w:rsidRDefault="00325EEA" w:rsidP="00325EEA">
      <w:bookmarkStart w:id="0" w:name="_GoBack"/>
      <w:bookmarkEnd w:id="0"/>
    </w:p>
    <w:sectPr w:rsidR="00325EEA" w:rsidRPr="00325EEA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71CDD" w14:textId="77777777" w:rsidR="005A228C" w:rsidRDefault="005A228C" w:rsidP="00897288">
      <w:pPr>
        <w:spacing w:after="0" w:line="240" w:lineRule="auto"/>
      </w:pPr>
      <w:r>
        <w:separator/>
      </w:r>
    </w:p>
  </w:endnote>
  <w:endnote w:type="continuationSeparator" w:id="0">
    <w:p w14:paraId="2BB1C81E" w14:textId="77777777" w:rsidR="005A228C" w:rsidRDefault="005A228C" w:rsidP="0089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468A3" w14:textId="77777777" w:rsidR="005A228C" w:rsidRDefault="005A228C" w:rsidP="00897288">
      <w:pPr>
        <w:spacing w:after="0" w:line="240" w:lineRule="auto"/>
      </w:pPr>
      <w:r>
        <w:separator/>
      </w:r>
    </w:p>
  </w:footnote>
  <w:footnote w:type="continuationSeparator" w:id="0">
    <w:p w14:paraId="68482CF6" w14:textId="77777777" w:rsidR="005A228C" w:rsidRDefault="005A228C" w:rsidP="0089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0DDB0" w14:textId="1369886C" w:rsidR="00897288" w:rsidRDefault="00897288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76"/>
    <w:rsid w:val="001E38F9"/>
    <w:rsid w:val="00325EEA"/>
    <w:rsid w:val="004B2838"/>
    <w:rsid w:val="005A228C"/>
    <w:rsid w:val="00695F50"/>
    <w:rsid w:val="00897288"/>
    <w:rsid w:val="00A764B2"/>
    <w:rsid w:val="00AC0E07"/>
    <w:rsid w:val="00BD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302B0"/>
  <w15:chartTrackingRefBased/>
  <w15:docId w15:val="{524EB29A-4D9C-47C9-B22B-6C2E59D5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2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97288"/>
  </w:style>
  <w:style w:type="paragraph" w:styleId="a5">
    <w:name w:val="footer"/>
    <w:basedOn w:val="a"/>
    <w:link w:val="a6"/>
    <w:uiPriority w:val="99"/>
    <w:unhideWhenUsed/>
    <w:rsid w:val="008972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9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2025-04-24T10:32:00Z</dcterms:created>
  <dcterms:modified xsi:type="dcterms:W3CDTF">2025-04-24T11:20:00Z</dcterms:modified>
</cp:coreProperties>
</file>